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3E" w:rsidRDefault="0042163E">
      <w:pPr>
        <w:spacing w:after="160" w:line="264" w:lineRule="auto"/>
        <w:jc w:val="center"/>
      </w:pPr>
    </w:p>
    <w:p w:rsidR="00380318" w:rsidRDefault="00380318">
      <w:pPr>
        <w:spacing w:after="160" w:line="264" w:lineRule="auto"/>
        <w:jc w:val="center"/>
        <w:rPr>
          <w:rFonts w:ascii="Calibri" w:eastAsia="Calibri" w:hAnsi="Calibri" w:cs="Calibri"/>
        </w:rPr>
      </w:pPr>
      <w:r>
        <w:object w:dxaOrig="2129" w:dyaOrig="2129">
          <v:rect id="rectole0000000000" o:spid="_x0000_i1025" style="width:106.5pt;height:106.5pt" o:ole="" o:preferrelative="t" stroked="f">
            <v:imagedata r:id="rId4" o:title=""/>
          </v:rect>
          <o:OLEObject Type="Embed" ProgID="StaticMetafile" ShapeID="rectole0000000000" DrawAspect="Content" ObjectID="_1654929003" r:id="rId5"/>
        </w:object>
      </w:r>
    </w:p>
    <w:tbl>
      <w:tblPr>
        <w:tblW w:w="10349" w:type="dxa"/>
        <w:tblInd w:w="-318" w:type="dxa"/>
        <w:tblCellMar>
          <w:left w:w="10" w:type="dxa"/>
          <w:right w:w="10" w:type="dxa"/>
        </w:tblCellMar>
        <w:tblLook w:val="0000"/>
      </w:tblPr>
      <w:tblGrid>
        <w:gridCol w:w="10349"/>
      </w:tblGrid>
      <w:tr w:rsidR="00380318" w:rsidTr="00D40B13">
        <w:trPr>
          <w:cantSplit/>
          <w:trHeight w:val="512"/>
        </w:trPr>
        <w:tc>
          <w:tcPr>
            <w:tcW w:w="10349" w:type="dxa"/>
            <w:tcBorders>
              <w:top w:val="nil"/>
              <w:bottom w:val="nil"/>
            </w:tcBorders>
            <w:shd w:val="clear" w:color="000000" w:fill="FFFFFF"/>
            <w:tcMar>
              <w:left w:w="108" w:type="dxa"/>
              <w:right w:w="108" w:type="dxa"/>
            </w:tcMar>
            <w:vAlign w:val="center"/>
          </w:tcPr>
          <w:p w:rsidR="0042163E" w:rsidRDefault="0042163E">
            <w:pPr>
              <w:tabs>
                <w:tab w:val="left" w:pos="821"/>
                <w:tab w:val="left" w:pos="1529"/>
                <w:tab w:val="left" w:pos="2237"/>
                <w:tab w:val="left" w:pos="2945"/>
                <w:tab w:val="left" w:pos="3653"/>
                <w:tab w:val="left" w:pos="4361"/>
                <w:tab w:val="left" w:pos="5069"/>
                <w:tab w:val="left" w:pos="5777"/>
                <w:tab w:val="left" w:pos="6485"/>
                <w:tab w:val="left" w:pos="7193"/>
                <w:tab w:val="left" w:pos="7901"/>
                <w:tab w:val="left" w:pos="8609"/>
                <w:tab w:val="left" w:pos="9317"/>
              </w:tabs>
              <w:spacing w:after="160" w:line="360" w:lineRule="auto"/>
              <w:ind w:left="113" w:right="113"/>
              <w:jc w:val="center"/>
              <w:rPr>
                <w:rFonts w:ascii="Garamond" w:eastAsia="Garamond" w:hAnsi="Garamond" w:cs="Garamond"/>
                <w:b/>
                <w:i/>
                <w:color w:val="000000"/>
                <w:sz w:val="32"/>
                <w:u w:val="single"/>
              </w:rPr>
            </w:pPr>
          </w:p>
          <w:p w:rsidR="00380318" w:rsidRDefault="00D40B13">
            <w:pPr>
              <w:tabs>
                <w:tab w:val="left" w:pos="821"/>
                <w:tab w:val="left" w:pos="1529"/>
                <w:tab w:val="left" w:pos="2237"/>
                <w:tab w:val="left" w:pos="2945"/>
                <w:tab w:val="left" w:pos="3653"/>
                <w:tab w:val="left" w:pos="4361"/>
                <w:tab w:val="left" w:pos="5069"/>
                <w:tab w:val="left" w:pos="5777"/>
                <w:tab w:val="left" w:pos="6485"/>
                <w:tab w:val="left" w:pos="7193"/>
                <w:tab w:val="left" w:pos="7901"/>
                <w:tab w:val="left" w:pos="8609"/>
                <w:tab w:val="left" w:pos="9317"/>
              </w:tabs>
              <w:spacing w:after="160" w:line="360" w:lineRule="auto"/>
              <w:ind w:left="113" w:right="113"/>
              <w:jc w:val="center"/>
            </w:pPr>
            <w:r>
              <w:rPr>
                <w:rFonts w:ascii="Garamond" w:eastAsia="Garamond" w:hAnsi="Garamond" w:cs="Garamond"/>
                <w:b/>
                <w:i/>
                <w:color w:val="000000"/>
                <w:sz w:val="32"/>
                <w:u w:val="single"/>
              </w:rPr>
              <w:t xml:space="preserve">CITTA’ </w:t>
            </w:r>
            <w:proofErr w:type="spellStart"/>
            <w:r>
              <w:rPr>
                <w:rFonts w:ascii="Garamond" w:eastAsia="Garamond" w:hAnsi="Garamond" w:cs="Garamond"/>
                <w:b/>
                <w:i/>
                <w:color w:val="000000"/>
                <w:sz w:val="32"/>
                <w:u w:val="single"/>
              </w:rPr>
              <w:t>DI</w:t>
            </w:r>
            <w:proofErr w:type="spellEnd"/>
            <w:r>
              <w:rPr>
                <w:rFonts w:ascii="Garamond" w:eastAsia="Garamond" w:hAnsi="Garamond" w:cs="Garamond"/>
                <w:b/>
                <w:i/>
                <w:color w:val="000000"/>
                <w:sz w:val="32"/>
                <w:u w:val="single"/>
              </w:rPr>
              <w:t xml:space="preserve"> MIRABELLA IMBACCARI</w:t>
            </w:r>
          </w:p>
        </w:tc>
      </w:tr>
    </w:tbl>
    <w:p w:rsidR="00D40B13" w:rsidRDefault="00D40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64" w:lineRule="auto"/>
        <w:rPr>
          <w:rFonts w:ascii="Garamond" w:eastAsia="Garamond" w:hAnsi="Garamond" w:cs="Garamond"/>
          <w:b/>
          <w:i/>
          <w:color w:val="000000"/>
          <w:sz w:val="24"/>
          <w:u w:val="single"/>
        </w:rPr>
      </w:pPr>
    </w:p>
    <w:p w:rsidR="00380318" w:rsidRDefault="00D40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64" w:lineRule="auto"/>
        <w:rPr>
          <w:rFonts w:ascii="Garamond" w:eastAsia="Garamond" w:hAnsi="Garamond" w:cs="Garamond"/>
          <w:b/>
          <w:i/>
          <w:color w:val="000000"/>
          <w:sz w:val="24"/>
          <w:u w:val="single"/>
        </w:rPr>
      </w:pPr>
      <w:r>
        <w:rPr>
          <w:rFonts w:ascii="Garamond" w:eastAsia="Garamond" w:hAnsi="Garamond" w:cs="Garamond"/>
          <w:b/>
          <w:i/>
          <w:color w:val="000000"/>
          <w:sz w:val="24"/>
          <w:u w:val="single"/>
        </w:rPr>
        <w:t>OGGETTO: REVOCA GRADUAZIONE DELLE POSIZIONI ORGANIZZATIVE</w:t>
      </w:r>
    </w:p>
    <w:p w:rsidR="00380318" w:rsidRDefault="00380318">
      <w:pPr>
        <w:spacing w:after="0" w:line="240" w:lineRule="auto"/>
        <w:jc w:val="both"/>
        <w:rPr>
          <w:rFonts w:ascii="Calibri" w:eastAsia="Calibri" w:hAnsi="Calibri" w:cs="Calibri"/>
        </w:rPr>
      </w:pPr>
    </w:p>
    <w:p w:rsidR="00380318" w:rsidRDefault="00D40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Garamond" w:eastAsia="Garamond" w:hAnsi="Garamond" w:cs="Garamond"/>
          <w:color w:val="000000"/>
          <w:sz w:val="24"/>
        </w:rPr>
      </w:pPr>
      <w:r>
        <w:rPr>
          <w:rFonts w:ascii="Garamond" w:eastAsia="Garamond" w:hAnsi="Garamond" w:cs="Garamond"/>
          <w:color w:val="000000"/>
          <w:sz w:val="24"/>
        </w:rPr>
        <w:t xml:space="preserve">L’anno </w:t>
      </w:r>
      <w:r>
        <w:rPr>
          <w:rFonts w:ascii="Garamond" w:eastAsia="Garamond" w:hAnsi="Garamond" w:cs="Garamond"/>
          <w:b/>
          <w:color w:val="000000"/>
          <w:sz w:val="24"/>
        </w:rPr>
        <w:t>duemilaventi</w:t>
      </w:r>
      <w:r>
        <w:rPr>
          <w:rFonts w:ascii="Garamond" w:eastAsia="Garamond" w:hAnsi="Garamond" w:cs="Garamond"/>
          <w:color w:val="000000"/>
          <w:sz w:val="24"/>
        </w:rPr>
        <w:t xml:space="preserve">, il giorno </w:t>
      </w:r>
      <w:r>
        <w:rPr>
          <w:rFonts w:ascii="Garamond" w:eastAsia="Garamond" w:hAnsi="Garamond" w:cs="Garamond"/>
          <w:b/>
          <w:color w:val="000000"/>
          <w:sz w:val="24"/>
        </w:rPr>
        <w:t xml:space="preserve">ventiquattro </w:t>
      </w:r>
      <w:r>
        <w:rPr>
          <w:rFonts w:ascii="Garamond" w:eastAsia="Garamond" w:hAnsi="Garamond" w:cs="Garamond"/>
          <w:color w:val="000000"/>
          <w:sz w:val="24"/>
        </w:rPr>
        <w:t xml:space="preserve">del mese di </w:t>
      </w:r>
      <w:r>
        <w:rPr>
          <w:rFonts w:ascii="Garamond" w:eastAsia="Garamond" w:hAnsi="Garamond" w:cs="Garamond"/>
          <w:b/>
          <w:color w:val="000000"/>
          <w:sz w:val="24"/>
        </w:rPr>
        <w:t>giugno</w:t>
      </w:r>
      <w:r>
        <w:rPr>
          <w:rFonts w:ascii="Garamond" w:eastAsia="Garamond" w:hAnsi="Garamond" w:cs="Garamond"/>
          <w:color w:val="000000"/>
          <w:sz w:val="24"/>
        </w:rPr>
        <w:t xml:space="preserve">, alle ore 10.00 si è riunito il Nucleo di Valutazione in forma monocratica, così come nominato con provvedimento sindacale </w:t>
      </w:r>
      <w:proofErr w:type="spellStart"/>
      <w:r>
        <w:rPr>
          <w:rFonts w:ascii="Garamond" w:eastAsia="Garamond" w:hAnsi="Garamond" w:cs="Garamond"/>
          <w:color w:val="000000"/>
          <w:sz w:val="24"/>
        </w:rPr>
        <w:t>n°</w:t>
      </w:r>
      <w:proofErr w:type="spellEnd"/>
      <w:r>
        <w:rPr>
          <w:rFonts w:ascii="Garamond" w:eastAsia="Garamond" w:hAnsi="Garamond" w:cs="Garamond"/>
          <w:color w:val="000000"/>
          <w:sz w:val="24"/>
        </w:rPr>
        <w:t xml:space="preserve"> 32 del 18/10/2019 nella persona del dott. </w:t>
      </w:r>
      <w:proofErr w:type="spellStart"/>
      <w:r>
        <w:rPr>
          <w:rFonts w:ascii="Garamond" w:eastAsia="Garamond" w:hAnsi="Garamond" w:cs="Garamond"/>
          <w:color w:val="000000"/>
          <w:sz w:val="24"/>
        </w:rPr>
        <w:t>Ravale</w:t>
      </w:r>
      <w:proofErr w:type="spellEnd"/>
      <w:r>
        <w:rPr>
          <w:rFonts w:ascii="Garamond" w:eastAsia="Garamond" w:hAnsi="Garamond" w:cs="Garamond"/>
          <w:color w:val="000000"/>
          <w:sz w:val="24"/>
        </w:rPr>
        <w:t xml:space="preserve"> Nicolò, per verbalizzare quanto segue:</w:t>
      </w:r>
    </w:p>
    <w:p w:rsidR="00380318" w:rsidRDefault="00D40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Garamond" w:eastAsia="Garamond" w:hAnsi="Garamond" w:cs="Garamond"/>
          <w:color w:val="000000"/>
          <w:sz w:val="24"/>
        </w:rPr>
      </w:pPr>
      <w:r>
        <w:rPr>
          <w:rFonts w:ascii="Garamond" w:eastAsia="Garamond" w:hAnsi="Garamond" w:cs="Garamond"/>
          <w:b/>
          <w:color w:val="000000"/>
          <w:sz w:val="24"/>
        </w:rPr>
        <w:t xml:space="preserve">PREMESSO </w:t>
      </w:r>
      <w:r>
        <w:rPr>
          <w:rFonts w:ascii="Garamond" w:eastAsia="Garamond" w:hAnsi="Garamond" w:cs="Garamond"/>
          <w:color w:val="000000"/>
          <w:sz w:val="24"/>
        </w:rPr>
        <w:t>che</w:t>
      </w:r>
      <w:r>
        <w:rPr>
          <w:rFonts w:ascii="Garamond" w:eastAsia="Garamond" w:hAnsi="Garamond" w:cs="Garamond"/>
          <w:b/>
          <w:color w:val="000000"/>
          <w:sz w:val="24"/>
        </w:rPr>
        <w:t xml:space="preserve"> </w:t>
      </w:r>
      <w:r>
        <w:rPr>
          <w:rFonts w:ascii="Garamond" w:eastAsia="Garamond" w:hAnsi="Garamond" w:cs="Garamond"/>
          <w:color w:val="000000"/>
          <w:sz w:val="24"/>
        </w:rPr>
        <w:t>è volontà dell’Amministrazione comunale di</w:t>
      </w:r>
      <w:r>
        <w:rPr>
          <w:rFonts w:ascii="Garamond" w:eastAsia="Garamond" w:hAnsi="Garamond" w:cs="Garamond"/>
          <w:b/>
          <w:color w:val="000000"/>
          <w:sz w:val="24"/>
        </w:rPr>
        <w:t xml:space="preserve"> </w:t>
      </w:r>
      <w:r>
        <w:rPr>
          <w:rFonts w:ascii="Garamond" w:eastAsia="Garamond" w:hAnsi="Garamond" w:cs="Garamond"/>
          <w:color w:val="000000"/>
          <w:sz w:val="24"/>
        </w:rPr>
        <w:t xml:space="preserve">Mirabella </w:t>
      </w:r>
      <w:proofErr w:type="spellStart"/>
      <w:r>
        <w:rPr>
          <w:rFonts w:ascii="Garamond" w:eastAsia="Garamond" w:hAnsi="Garamond" w:cs="Garamond"/>
          <w:color w:val="000000"/>
          <w:sz w:val="24"/>
        </w:rPr>
        <w:t>Imbaccari</w:t>
      </w:r>
      <w:proofErr w:type="spellEnd"/>
      <w:r>
        <w:rPr>
          <w:rFonts w:ascii="Garamond" w:eastAsia="Garamond" w:hAnsi="Garamond" w:cs="Garamond"/>
          <w:color w:val="000000"/>
          <w:sz w:val="24"/>
        </w:rPr>
        <w:t>, in coerenza con le disposizioni legislative, adottare un sistema di misurazione e di valutazione della performance organizzativa e individuale, teso a misurarne le prestazioni lavorative e le competenze organizzative, a valorizzare le professionalità interne dei propri dipendenti e a riconoscerne il merito, anche attraverso l’erogazione di premi correlati alle modalità di esercizio dell’attività lavorativa, in relazione alla gestione delle risorse, alla integrazione organizzativa ed al comportamento individuale.</w:t>
      </w:r>
    </w:p>
    <w:p w:rsidR="00380318" w:rsidRDefault="00D40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Garamond" w:eastAsia="Garamond" w:hAnsi="Garamond" w:cs="Garamond"/>
          <w:color w:val="000000"/>
          <w:sz w:val="24"/>
        </w:rPr>
      </w:pPr>
      <w:r>
        <w:rPr>
          <w:rFonts w:ascii="Garamond" w:eastAsia="Garamond" w:hAnsi="Garamond" w:cs="Garamond"/>
          <w:b/>
          <w:color w:val="000000"/>
          <w:sz w:val="24"/>
        </w:rPr>
        <w:t xml:space="preserve">CONSIDERANDO </w:t>
      </w:r>
      <w:r>
        <w:rPr>
          <w:rFonts w:ascii="Garamond" w:eastAsia="Garamond" w:hAnsi="Garamond" w:cs="Garamond"/>
          <w:color w:val="000000"/>
          <w:sz w:val="24"/>
        </w:rPr>
        <w:t xml:space="preserve">che il ciclo di gestione della performance organizzativa ed individuale, caratterizzato dalle fasi di programmazione, misurazione, valutazione e </w:t>
      </w:r>
      <w:proofErr w:type="spellStart"/>
      <w:r>
        <w:rPr>
          <w:rFonts w:ascii="Garamond" w:eastAsia="Garamond" w:hAnsi="Garamond" w:cs="Garamond"/>
          <w:color w:val="000000"/>
          <w:sz w:val="24"/>
        </w:rPr>
        <w:t>premialità</w:t>
      </w:r>
      <w:proofErr w:type="spellEnd"/>
      <w:r>
        <w:rPr>
          <w:rFonts w:ascii="Garamond" w:eastAsia="Garamond" w:hAnsi="Garamond" w:cs="Garamond"/>
          <w:color w:val="000000"/>
          <w:sz w:val="24"/>
        </w:rPr>
        <w:t xml:space="preserve"> deve essere coerente con il ciclo della programmazione finanziaria e del bilancio.</w:t>
      </w:r>
    </w:p>
    <w:p w:rsidR="00380318" w:rsidRDefault="00D40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Garamond" w:eastAsia="Garamond" w:hAnsi="Garamond" w:cs="Garamond"/>
          <w:b/>
          <w:color w:val="000000"/>
          <w:sz w:val="24"/>
        </w:rPr>
      </w:pPr>
      <w:r>
        <w:rPr>
          <w:rFonts w:ascii="Garamond" w:eastAsia="Garamond" w:hAnsi="Garamond" w:cs="Garamond"/>
          <w:b/>
          <w:color w:val="000000"/>
          <w:sz w:val="24"/>
        </w:rPr>
        <w:t xml:space="preserve">VISTO </w:t>
      </w:r>
      <w:r>
        <w:rPr>
          <w:rFonts w:ascii="Garamond" w:eastAsia="Garamond" w:hAnsi="Garamond" w:cs="Garamond"/>
          <w:color w:val="000000"/>
          <w:sz w:val="24"/>
        </w:rPr>
        <w:t>il Regolamento per il conferimento, revoca, graduazione e valutazione delle posizioni organizzative, allegato alla deliberazione giuntale n. 61 del 21/05/2019, che all’articolo 2 recita: “Gli importi minimo e massimo corrispondono ai valori stabiliti dal CCNL. La giunta municipale, anche in relazione alle disponibilità economiche dell’Ente, con proprio atto stabilisce annualmente il budget da assegnare per il finanziamento delle posizioni organizzative e del risultato”.</w:t>
      </w:r>
      <w:r>
        <w:rPr>
          <w:rFonts w:ascii="Garamond" w:eastAsia="Garamond" w:hAnsi="Garamond" w:cs="Garamond"/>
          <w:b/>
          <w:color w:val="000000"/>
          <w:sz w:val="24"/>
        </w:rPr>
        <w:t xml:space="preserve"> </w:t>
      </w:r>
    </w:p>
    <w:p w:rsidR="003A51D8" w:rsidRDefault="003A51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Garamond" w:eastAsia="Garamond" w:hAnsi="Garamond" w:cs="Garamond"/>
          <w:b/>
          <w:color w:val="000000"/>
          <w:sz w:val="24"/>
        </w:rPr>
      </w:pPr>
    </w:p>
    <w:p w:rsidR="003A51D8" w:rsidRDefault="003A51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Garamond" w:eastAsia="Garamond" w:hAnsi="Garamond" w:cs="Garamond"/>
          <w:b/>
          <w:color w:val="000000"/>
          <w:sz w:val="24"/>
        </w:rPr>
      </w:pPr>
    </w:p>
    <w:tbl>
      <w:tblPr>
        <w:tblW w:w="9933" w:type="dxa"/>
        <w:tblInd w:w="98" w:type="dxa"/>
        <w:tblCellMar>
          <w:left w:w="10" w:type="dxa"/>
          <w:right w:w="10" w:type="dxa"/>
        </w:tblCellMar>
        <w:tblLook w:val="0000"/>
      </w:tblPr>
      <w:tblGrid>
        <w:gridCol w:w="9933"/>
      </w:tblGrid>
      <w:tr w:rsidR="00380318" w:rsidTr="0042163E">
        <w:trPr>
          <w:cantSplit/>
          <w:trHeight w:val="564"/>
        </w:trPr>
        <w:tc>
          <w:tcPr>
            <w:tcW w:w="9933"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380318" w:rsidRDefault="00D40B13">
            <w:pPr>
              <w:tabs>
                <w:tab w:val="left" w:pos="821"/>
                <w:tab w:val="left" w:pos="1529"/>
                <w:tab w:val="left" w:pos="2237"/>
                <w:tab w:val="left" w:pos="2945"/>
                <w:tab w:val="left" w:pos="3653"/>
                <w:tab w:val="left" w:pos="4361"/>
                <w:tab w:val="left" w:pos="5069"/>
                <w:tab w:val="left" w:pos="5777"/>
                <w:tab w:val="left" w:pos="6485"/>
                <w:tab w:val="left" w:pos="7193"/>
                <w:tab w:val="left" w:pos="7901"/>
                <w:tab w:val="left" w:pos="8609"/>
                <w:tab w:val="left" w:pos="9317"/>
              </w:tabs>
              <w:spacing w:after="160" w:line="360" w:lineRule="auto"/>
              <w:ind w:left="113" w:right="113"/>
              <w:jc w:val="center"/>
            </w:pPr>
            <w:r>
              <w:rPr>
                <w:rFonts w:ascii="Garamond" w:eastAsia="Garamond" w:hAnsi="Garamond" w:cs="Garamond"/>
                <w:b/>
                <w:i/>
                <w:color w:val="000000"/>
                <w:sz w:val="32"/>
                <w:u w:val="single"/>
              </w:rPr>
              <w:lastRenderedPageBreak/>
              <w:t xml:space="preserve">CITTA’ </w:t>
            </w:r>
            <w:proofErr w:type="spellStart"/>
            <w:r>
              <w:rPr>
                <w:rFonts w:ascii="Garamond" w:eastAsia="Garamond" w:hAnsi="Garamond" w:cs="Garamond"/>
                <w:b/>
                <w:i/>
                <w:color w:val="000000"/>
                <w:sz w:val="32"/>
                <w:u w:val="single"/>
              </w:rPr>
              <w:t>DI</w:t>
            </w:r>
            <w:proofErr w:type="spellEnd"/>
            <w:r>
              <w:rPr>
                <w:rFonts w:ascii="Garamond" w:eastAsia="Garamond" w:hAnsi="Garamond" w:cs="Garamond"/>
                <w:b/>
                <w:i/>
                <w:color w:val="000000"/>
                <w:sz w:val="32"/>
                <w:u w:val="single"/>
              </w:rPr>
              <w:t xml:space="preserve"> MIRABELLA IMBACCARI</w:t>
            </w:r>
          </w:p>
        </w:tc>
      </w:tr>
    </w:tbl>
    <w:p w:rsidR="00380318" w:rsidRDefault="00D40B13">
      <w:pPr>
        <w:spacing w:after="0" w:line="360" w:lineRule="auto"/>
        <w:jc w:val="both"/>
        <w:rPr>
          <w:rFonts w:ascii="Garamond" w:eastAsia="Garamond" w:hAnsi="Garamond" w:cs="Garamond"/>
          <w:color w:val="000000"/>
          <w:sz w:val="24"/>
        </w:rPr>
      </w:pPr>
      <w:r>
        <w:rPr>
          <w:rFonts w:ascii="Garamond" w:eastAsia="Garamond" w:hAnsi="Garamond" w:cs="Garamond"/>
          <w:b/>
          <w:color w:val="000000"/>
          <w:sz w:val="24"/>
        </w:rPr>
        <w:t xml:space="preserve">RITENUTO </w:t>
      </w:r>
      <w:r>
        <w:rPr>
          <w:rFonts w:ascii="Garamond" w:eastAsia="Garamond" w:hAnsi="Garamond" w:cs="Garamond"/>
          <w:color w:val="000000"/>
          <w:sz w:val="24"/>
        </w:rPr>
        <w:t>di dovere procedere alla graduazione delle posizioni organizzative attribuite ai responsabili dell’area in ragione della disciplina approvata con delibera di Giunta Municipale n. 61 de</w:t>
      </w:r>
      <w:r w:rsidR="003A51D8">
        <w:rPr>
          <w:rFonts w:ascii="Garamond" w:eastAsia="Garamond" w:hAnsi="Garamond" w:cs="Garamond"/>
          <w:color w:val="000000"/>
          <w:sz w:val="24"/>
        </w:rPr>
        <w:t>l</w:t>
      </w:r>
      <w:r>
        <w:rPr>
          <w:rFonts w:ascii="Garamond" w:eastAsia="Garamond" w:hAnsi="Garamond" w:cs="Garamond"/>
          <w:color w:val="000000"/>
          <w:sz w:val="24"/>
        </w:rPr>
        <w:t>21/5/2019, così da adeguarne il valore economico alle responsabilità</w:t>
      </w:r>
      <w:r w:rsidR="003A51D8">
        <w:rPr>
          <w:rFonts w:ascii="Garamond" w:eastAsia="Garamond" w:hAnsi="Garamond" w:cs="Garamond"/>
          <w:color w:val="000000"/>
          <w:sz w:val="24"/>
        </w:rPr>
        <w:t xml:space="preserve"> conseguenti alle attribuzioni, </w:t>
      </w:r>
      <w:r>
        <w:rPr>
          <w:rFonts w:ascii="Garamond" w:eastAsia="Garamond" w:hAnsi="Garamond" w:cs="Garamond"/>
          <w:color w:val="000000"/>
          <w:sz w:val="24"/>
        </w:rPr>
        <w:t xml:space="preserve">oltre che alla complessità delle funzioni;                       </w:t>
      </w:r>
    </w:p>
    <w:p w:rsidR="00380318" w:rsidRDefault="003A51D8" w:rsidP="003A51D8">
      <w:pPr>
        <w:spacing w:after="0" w:line="360" w:lineRule="auto"/>
        <w:jc w:val="right"/>
        <w:rPr>
          <w:rFonts w:ascii="Calibri" w:eastAsia="Calibri" w:hAnsi="Calibri" w:cs="Calibri"/>
        </w:rPr>
      </w:pPr>
      <w:r>
        <w:object w:dxaOrig="1425" w:dyaOrig="1035">
          <v:rect id="rectole0000000001" o:spid="_x0000_i1027" style="width:71.25pt;height:51.75pt" o:ole="" o:preferrelative="t" stroked="f">
            <v:imagedata r:id="rId6" o:title=""/>
          </v:rect>
          <o:OLEObject Type="Embed" ProgID="StaticMetafile" ShapeID="rectole0000000001" DrawAspect="Content" ObjectID="_1654929004" r:id="rId7"/>
        </w:object>
      </w:r>
    </w:p>
    <w:p w:rsidR="00380318" w:rsidRDefault="00D40B13">
      <w:pPr>
        <w:spacing w:after="0" w:line="360" w:lineRule="auto"/>
        <w:jc w:val="both"/>
        <w:rPr>
          <w:rFonts w:ascii="Garamond" w:eastAsia="Garamond" w:hAnsi="Garamond" w:cs="Garamond"/>
          <w:color w:val="000000"/>
          <w:sz w:val="24"/>
        </w:rPr>
      </w:pPr>
      <w:r>
        <w:rPr>
          <w:rFonts w:ascii="Garamond" w:eastAsia="Garamond" w:hAnsi="Garamond" w:cs="Garamond"/>
          <w:b/>
          <w:color w:val="000000"/>
          <w:sz w:val="24"/>
        </w:rPr>
        <w:t xml:space="preserve">RICHIAMATA </w:t>
      </w:r>
      <w:r>
        <w:rPr>
          <w:rFonts w:ascii="Garamond" w:eastAsia="Garamond" w:hAnsi="Garamond" w:cs="Garamond"/>
          <w:color w:val="000000"/>
          <w:sz w:val="24"/>
        </w:rPr>
        <w:t xml:space="preserve">la propria competenza all’adozione della presente graduazione così come previsto dall’art.8 del regolamento allegato alla delibera di Giunta Municipale n. 50 del 9/4/2019; </w:t>
      </w:r>
    </w:p>
    <w:p w:rsidR="00380318" w:rsidRDefault="00380318">
      <w:pPr>
        <w:spacing w:after="0" w:line="360" w:lineRule="auto"/>
        <w:jc w:val="both"/>
        <w:rPr>
          <w:rFonts w:ascii="Calibri" w:eastAsia="Calibri" w:hAnsi="Calibri" w:cs="Calibri"/>
        </w:rPr>
      </w:pPr>
    </w:p>
    <w:p w:rsidR="00380318" w:rsidRDefault="00D40B13">
      <w:pPr>
        <w:spacing w:after="0" w:line="360" w:lineRule="auto"/>
        <w:ind w:left="720"/>
        <w:jc w:val="both"/>
        <w:rPr>
          <w:rFonts w:ascii="Garamond" w:eastAsia="Garamond" w:hAnsi="Garamond" w:cs="Garamond"/>
          <w:sz w:val="24"/>
        </w:rPr>
      </w:pPr>
      <w:r>
        <w:rPr>
          <w:rFonts w:ascii="Garamond" w:eastAsia="Garamond" w:hAnsi="Garamond" w:cs="Garamond"/>
          <w:b/>
          <w:sz w:val="24"/>
        </w:rPr>
        <w:t xml:space="preserve">CONSIDERANDO </w:t>
      </w:r>
      <w:r>
        <w:rPr>
          <w:rFonts w:ascii="Garamond" w:eastAsia="Garamond" w:hAnsi="Garamond" w:cs="Garamond"/>
          <w:sz w:val="24"/>
        </w:rPr>
        <w:t>che</w:t>
      </w:r>
      <w:r>
        <w:rPr>
          <w:rFonts w:ascii="Garamond" w:eastAsia="Garamond" w:hAnsi="Garamond" w:cs="Garamond"/>
          <w:b/>
          <w:sz w:val="24"/>
        </w:rPr>
        <w:t xml:space="preserve"> </w:t>
      </w:r>
      <w:r>
        <w:rPr>
          <w:rFonts w:ascii="Garamond" w:eastAsia="Garamond" w:hAnsi="Garamond" w:cs="Garamond"/>
          <w:sz w:val="24"/>
        </w:rPr>
        <w:t>sono in via di definizione le priorità per l’allocazione delle risorse finanziarie – da effettuarsi in sede di formazione del bilancio di previsione – al fine di garantire l’armonia tra gli obiettivi previsti dal programma di mandato e quelli legati all’attività istituzionale del Comune e la coerenza fra il ciclo di programmazione strategica e il ciclo di programmazione finanziaria.</w:t>
      </w:r>
    </w:p>
    <w:p w:rsidR="00380318" w:rsidRDefault="00380318">
      <w:pPr>
        <w:spacing w:after="0" w:line="360" w:lineRule="auto"/>
        <w:jc w:val="both"/>
        <w:rPr>
          <w:rFonts w:ascii="Calibri" w:eastAsia="Calibri" w:hAnsi="Calibri" w:cs="Calibri"/>
        </w:rPr>
      </w:pPr>
    </w:p>
    <w:p w:rsidR="00380318" w:rsidRPr="0042163E" w:rsidRDefault="00D40B13">
      <w:pPr>
        <w:spacing w:after="0" w:line="360" w:lineRule="auto"/>
        <w:jc w:val="both"/>
        <w:rPr>
          <w:rFonts w:ascii="Garamond" w:eastAsia="Garamond" w:hAnsi="Garamond" w:cs="Garamond"/>
          <w:color w:val="000000"/>
          <w:sz w:val="24"/>
        </w:rPr>
      </w:pPr>
      <w:r>
        <w:rPr>
          <w:rFonts w:ascii="Garamond" w:eastAsia="Garamond" w:hAnsi="Garamond" w:cs="Garamond"/>
          <w:color w:val="000000"/>
          <w:sz w:val="24"/>
        </w:rPr>
        <w:t xml:space="preserve">Tutto ciò premesso </w:t>
      </w:r>
    </w:p>
    <w:p w:rsidR="00380318" w:rsidRDefault="00D40B13">
      <w:pPr>
        <w:spacing w:after="0" w:line="240" w:lineRule="auto"/>
        <w:jc w:val="center"/>
        <w:rPr>
          <w:rFonts w:ascii="Garamond" w:eastAsia="Garamond" w:hAnsi="Garamond" w:cs="Garamond"/>
          <w:b/>
          <w:color w:val="000000"/>
          <w:sz w:val="28"/>
        </w:rPr>
      </w:pPr>
      <w:r>
        <w:rPr>
          <w:rFonts w:ascii="Garamond" w:eastAsia="Garamond" w:hAnsi="Garamond" w:cs="Garamond"/>
          <w:b/>
          <w:color w:val="000000"/>
          <w:sz w:val="28"/>
        </w:rPr>
        <w:t>REVOCA</w:t>
      </w:r>
    </w:p>
    <w:p w:rsidR="00380318" w:rsidRDefault="00380318">
      <w:pPr>
        <w:spacing w:after="0" w:line="240" w:lineRule="auto"/>
        <w:rPr>
          <w:rFonts w:ascii="Calibri" w:eastAsia="Calibri" w:hAnsi="Calibri" w:cs="Calibri"/>
        </w:rPr>
      </w:pPr>
    </w:p>
    <w:p w:rsidR="00380318" w:rsidRDefault="00380318">
      <w:pPr>
        <w:spacing w:after="0" w:line="240" w:lineRule="auto"/>
        <w:rPr>
          <w:rFonts w:ascii="Calibri" w:eastAsia="Calibri" w:hAnsi="Calibri" w:cs="Calibri"/>
        </w:rPr>
      </w:pPr>
    </w:p>
    <w:p w:rsidR="00380318" w:rsidRDefault="00D40B13">
      <w:pPr>
        <w:spacing w:after="0" w:line="360" w:lineRule="auto"/>
        <w:jc w:val="both"/>
        <w:rPr>
          <w:rFonts w:ascii="Garamond" w:eastAsia="Garamond" w:hAnsi="Garamond" w:cs="Garamond"/>
          <w:color w:val="000000"/>
          <w:sz w:val="24"/>
        </w:rPr>
      </w:pPr>
      <w:r>
        <w:rPr>
          <w:rFonts w:ascii="Garamond" w:eastAsia="Garamond" w:hAnsi="Garamond" w:cs="Garamond"/>
          <w:color w:val="000000"/>
          <w:sz w:val="24"/>
        </w:rPr>
        <w:t>la graduazione delle posizioni organizzative di cui al verbale N°1/2020 del 16/03/2020</w:t>
      </w:r>
    </w:p>
    <w:p w:rsidR="00380318" w:rsidRDefault="00D40B13">
      <w:pPr>
        <w:spacing w:after="160" w:line="264" w:lineRule="auto"/>
        <w:rPr>
          <w:rFonts w:ascii="Garamond" w:eastAsia="Garamond" w:hAnsi="Garamond" w:cs="Garamond"/>
          <w:sz w:val="24"/>
        </w:rPr>
      </w:pPr>
      <w:r>
        <w:rPr>
          <w:rFonts w:ascii="Garamond" w:eastAsia="Garamond" w:hAnsi="Garamond" w:cs="Garamond"/>
          <w:sz w:val="24"/>
        </w:rPr>
        <w:t xml:space="preserve"> riportata nei prospetti denominati:</w:t>
      </w:r>
    </w:p>
    <w:p w:rsidR="00380318" w:rsidRDefault="00D40B13">
      <w:pPr>
        <w:spacing w:after="160" w:line="264" w:lineRule="auto"/>
        <w:rPr>
          <w:rFonts w:ascii="Garamond" w:eastAsia="Garamond" w:hAnsi="Garamond" w:cs="Garamond"/>
          <w:sz w:val="24"/>
        </w:rPr>
      </w:pPr>
      <w:r>
        <w:rPr>
          <w:rFonts w:ascii="Garamond" w:eastAsia="Garamond" w:hAnsi="Garamond" w:cs="Garamond"/>
          <w:sz w:val="24"/>
        </w:rPr>
        <w:t>Allegato A “Pesatura Funzioni”;</w:t>
      </w:r>
    </w:p>
    <w:p w:rsidR="00380318" w:rsidRDefault="00D40B13">
      <w:pPr>
        <w:spacing w:after="160" w:line="264" w:lineRule="auto"/>
        <w:rPr>
          <w:rFonts w:ascii="Garamond" w:eastAsia="Garamond" w:hAnsi="Garamond" w:cs="Garamond"/>
          <w:sz w:val="24"/>
        </w:rPr>
      </w:pPr>
      <w:r>
        <w:rPr>
          <w:rFonts w:ascii="Garamond" w:eastAsia="Garamond" w:hAnsi="Garamond" w:cs="Garamond"/>
          <w:sz w:val="24"/>
        </w:rPr>
        <w:t>Allegato B “Assegnazione Funzioni”;</w:t>
      </w:r>
    </w:p>
    <w:p w:rsidR="00380318" w:rsidRDefault="00D40B13">
      <w:pPr>
        <w:spacing w:after="160" w:line="264" w:lineRule="auto"/>
        <w:rPr>
          <w:rFonts w:ascii="Garamond" w:eastAsia="Garamond" w:hAnsi="Garamond" w:cs="Garamond"/>
          <w:sz w:val="24"/>
        </w:rPr>
      </w:pPr>
      <w:r>
        <w:rPr>
          <w:rFonts w:ascii="Garamond" w:eastAsia="Garamond" w:hAnsi="Garamond" w:cs="Garamond"/>
          <w:sz w:val="24"/>
        </w:rPr>
        <w:t>Allegato C “Indennità di posizione attribuita”.</w:t>
      </w:r>
    </w:p>
    <w:p w:rsidR="00380318" w:rsidRDefault="00380318">
      <w:pPr>
        <w:spacing w:after="0" w:line="360" w:lineRule="auto"/>
        <w:jc w:val="both"/>
        <w:rPr>
          <w:rFonts w:ascii="Calibri" w:eastAsia="Calibri" w:hAnsi="Calibri" w:cs="Calibri"/>
        </w:rPr>
      </w:pPr>
    </w:p>
    <w:p w:rsidR="00380318" w:rsidRDefault="00D40B13">
      <w:pPr>
        <w:spacing w:after="0" w:line="360" w:lineRule="auto"/>
        <w:jc w:val="both"/>
        <w:rPr>
          <w:rFonts w:ascii="Garamond" w:eastAsia="Garamond" w:hAnsi="Garamond" w:cs="Garamond"/>
          <w:color w:val="000000"/>
          <w:sz w:val="24"/>
        </w:rPr>
      </w:pPr>
      <w:r>
        <w:rPr>
          <w:rFonts w:ascii="Garamond" w:eastAsia="Garamond" w:hAnsi="Garamond" w:cs="Garamond"/>
          <w:color w:val="000000"/>
          <w:sz w:val="24"/>
        </w:rPr>
        <w:t xml:space="preserve">Il presente verbale va pubblicato in Amministrazione Trasparente / </w:t>
      </w:r>
      <w:hyperlink r:id="rId8">
        <w:r>
          <w:rPr>
            <w:rFonts w:ascii="Garamond" w:eastAsia="Garamond" w:hAnsi="Garamond" w:cs="Garamond"/>
            <w:color w:val="000000"/>
            <w:sz w:val="24"/>
            <w:u w:val="single"/>
          </w:rPr>
          <w:t>Disposizioni Generali</w:t>
        </w:r>
      </w:hyperlink>
      <w:r>
        <w:rPr>
          <w:rFonts w:ascii="Garamond" w:eastAsia="Garamond" w:hAnsi="Garamond" w:cs="Garamond"/>
          <w:color w:val="000000"/>
          <w:sz w:val="24"/>
        </w:rPr>
        <w:t xml:space="preserve"> / Attestazioni OIV o di struttura analoga.</w:t>
      </w:r>
    </w:p>
    <w:p w:rsidR="00380318" w:rsidRDefault="00380318">
      <w:pPr>
        <w:spacing w:after="0" w:line="360" w:lineRule="auto"/>
        <w:jc w:val="both"/>
        <w:rPr>
          <w:rFonts w:ascii="Calibri" w:eastAsia="Calibri" w:hAnsi="Calibri" w:cs="Calibri"/>
        </w:rPr>
      </w:pPr>
    </w:p>
    <w:p w:rsidR="00380318" w:rsidRDefault="00380318">
      <w:pPr>
        <w:spacing w:after="0" w:line="240" w:lineRule="auto"/>
        <w:jc w:val="right"/>
        <w:rPr>
          <w:rFonts w:ascii="Calibri" w:eastAsia="Calibri" w:hAnsi="Calibri" w:cs="Calibri"/>
        </w:rPr>
      </w:pPr>
      <w:r>
        <w:object w:dxaOrig="5130" w:dyaOrig="1184">
          <v:rect id="rectole0000000002" o:spid="_x0000_i1026" style="width:256.5pt;height:59.25pt" o:ole="" o:preferrelative="t" stroked="f">
            <v:imagedata r:id="rId9" o:title=""/>
          </v:rect>
          <o:OLEObject Type="Embed" ProgID="StaticMetafile" ShapeID="rectole0000000002" DrawAspect="Content" ObjectID="_1654929005" r:id="rId10"/>
        </w:object>
      </w:r>
    </w:p>
    <w:p w:rsidR="00380318" w:rsidRDefault="00380318">
      <w:pPr>
        <w:spacing w:after="0" w:line="240" w:lineRule="auto"/>
        <w:jc w:val="right"/>
        <w:rPr>
          <w:rFonts w:ascii="Calibri" w:eastAsia="Calibri" w:hAnsi="Calibri" w:cs="Calibri"/>
        </w:rPr>
      </w:pPr>
    </w:p>
    <w:p w:rsidR="00380318" w:rsidRDefault="00380318">
      <w:pPr>
        <w:spacing w:after="160" w:line="264" w:lineRule="auto"/>
        <w:rPr>
          <w:rFonts w:ascii="Calibri" w:eastAsia="Calibri" w:hAnsi="Calibri" w:cs="Calibri"/>
        </w:rPr>
      </w:pPr>
    </w:p>
    <w:sectPr w:rsidR="00380318" w:rsidSect="007555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80318"/>
    <w:rsid w:val="00380318"/>
    <w:rsid w:val="003A51D8"/>
    <w:rsid w:val="0042163E"/>
    <w:rsid w:val="005A0470"/>
    <w:rsid w:val="007555CA"/>
    <w:rsid w:val="00D40B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5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une.mirabellaimbaccari.ct.it/modules.php?name=APContentPlus&amp;op=cat&amp;catid=36&amp;t=Disposizioni-Generali&amp;siteid=21" TargetMode="Externa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3.bin"/><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AffariGeneraliGiusy</dc:creator>
  <cp:lastModifiedBy>AffariGeneraliGiusy</cp:lastModifiedBy>
  <cp:revision>3</cp:revision>
  <dcterms:created xsi:type="dcterms:W3CDTF">2020-06-29T07:42:00Z</dcterms:created>
  <dcterms:modified xsi:type="dcterms:W3CDTF">2020-06-29T07:44:00Z</dcterms:modified>
</cp:coreProperties>
</file>